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4E1A" w14:textId="069C8D6D" w:rsidR="00805C13" w:rsidRPr="00805C13" w:rsidRDefault="00805C13" w:rsidP="00805C13">
      <w:pPr>
        <w:shd w:val="clear" w:color="auto" w:fill="FFFFFF"/>
        <w:spacing w:line="630" w:lineRule="atLeast"/>
        <w:textAlignment w:val="top"/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</w:pPr>
      <w:r w:rsidRPr="00805C13"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  <w:t xml:space="preserve">ABOUT </w:t>
      </w:r>
      <w:r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  <w:t>SCALEUP SUPPORT</w:t>
      </w:r>
    </w:p>
    <w:p w14:paraId="71CCF4CF" w14:textId="5972309D" w:rsidR="00805C13" w:rsidRPr="004B2785" w:rsidRDefault="00805C13" w:rsidP="00805C13">
      <w:pPr>
        <w:spacing w:line="360" w:lineRule="auto"/>
        <w:jc w:val="both"/>
      </w:pPr>
      <w:r w:rsidRPr="00805C13">
        <w:rPr>
          <w:rFonts w:ascii="Book Antiqua" w:hAnsi="Book Antiqua"/>
          <w:sz w:val="24"/>
          <w:szCs w:val="24"/>
        </w:rPr>
        <w:t>Innovative start-ups that have completed product development, started commercial operations</w:t>
      </w:r>
      <w:r w:rsidRPr="00805C13">
        <w:rPr>
          <w:rFonts w:ascii="Book Antiqua" w:hAnsi="Book Antiqua"/>
          <w:sz w:val="24"/>
          <w:szCs w:val="24"/>
          <w:lang w:val="en-US"/>
        </w:rPr>
        <w:t>/</w:t>
      </w:r>
      <w:r w:rsidRPr="00805C13">
        <w:rPr>
          <w:rFonts w:ascii="Book Antiqua" w:hAnsi="Book Antiqua"/>
          <w:sz w:val="24"/>
          <w:szCs w:val="24"/>
        </w:rPr>
        <w:t>generating revenues or utilized the assistance received in the seed stage effectively and has also commenced repaying/closed the assistance sought or has received major recognition from renowned institutions/agencies /received external investor funding support etc. shall be considered for the Scale-up Support under the scheme. The financial assistance will be by way of loan</w:t>
      </w:r>
      <w:r w:rsidR="00B86B30">
        <w:rPr>
          <w:rFonts w:ascii="Book Antiqua" w:hAnsi="Book Antiqua"/>
          <w:sz w:val="24"/>
          <w:szCs w:val="24"/>
        </w:rPr>
        <w:t>/equity assistance</w:t>
      </w:r>
      <w:r w:rsidRPr="00805C13">
        <w:rPr>
          <w:rFonts w:ascii="Book Antiqua" w:hAnsi="Book Antiqua"/>
          <w:sz w:val="24"/>
          <w:szCs w:val="24"/>
        </w:rPr>
        <w:t xml:space="preserve"> up to  Rs. 50 lakhs per venture </w:t>
      </w:r>
      <w:r w:rsidRPr="00805C13">
        <w:rPr>
          <w:rFonts w:ascii="Book Antiqua" w:hAnsi="Book Antiqua"/>
          <w:i/>
          <w:iCs/>
          <w:sz w:val="24"/>
          <w:szCs w:val="24"/>
        </w:rPr>
        <w:t>subject to a maximum of 80% of the Project cost</w:t>
      </w:r>
    </w:p>
    <w:p w14:paraId="235E17CB" w14:textId="77777777" w:rsidR="00886391" w:rsidRDefault="00886391">
      <w:pPr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</w:pPr>
    </w:p>
    <w:p w14:paraId="4787B39C" w14:textId="49D075BD" w:rsidR="00886391" w:rsidRDefault="00886391">
      <w:pPr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</w:pPr>
      <w:r>
        <w:rPr>
          <w:rFonts w:ascii="Lato" w:eastAsia="Times New Roman" w:hAnsi="Lato" w:cs="Times New Roman"/>
          <w:b/>
          <w:bCs/>
          <w:caps/>
          <w:color w:val="0173BC"/>
          <w:sz w:val="53"/>
          <w:szCs w:val="53"/>
          <w:lang w:eastAsia="en-IN"/>
        </w:rPr>
        <w:t>USER GUIDE</w:t>
      </w:r>
    </w:p>
    <w:p w14:paraId="0307A971" w14:textId="77777777" w:rsidR="00886391" w:rsidRDefault="00886391">
      <w:pPr>
        <w:rPr>
          <w:rFonts w:ascii="Lato" w:eastAsia="Times New Roman" w:hAnsi="Lato" w:cs="Times New Roman"/>
          <w:b/>
          <w:bCs/>
          <w:caps/>
          <w:sz w:val="24"/>
          <w:szCs w:val="24"/>
          <w:u w:val="single"/>
          <w:lang w:eastAsia="en-IN"/>
        </w:rPr>
      </w:pPr>
    </w:p>
    <w:p w14:paraId="03A607C7" w14:textId="1CE11C4E" w:rsidR="00322125" w:rsidRPr="00886391" w:rsidRDefault="00003BDE">
      <w:pPr>
        <w:rPr>
          <w:rFonts w:ascii="Lato" w:eastAsia="Times New Roman" w:hAnsi="Lato" w:cs="Times New Roman"/>
          <w:b/>
          <w:bCs/>
          <w:caps/>
          <w:sz w:val="24"/>
          <w:szCs w:val="24"/>
          <w:u w:val="single"/>
          <w:lang w:eastAsia="en-IN"/>
        </w:rPr>
      </w:pPr>
      <w:r w:rsidRPr="00886391">
        <w:rPr>
          <w:rFonts w:ascii="Lato" w:eastAsia="Times New Roman" w:hAnsi="Lato" w:cs="Times New Roman"/>
          <w:b/>
          <w:bCs/>
          <w:caps/>
          <w:sz w:val="24"/>
          <w:szCs w:val="24"/>
          <w:u w:val="single"/>
          <w:lang w:eastAsia="en-IN"/>
        </w:rPr>
        <w:t>ELIGIBILITY</w:t>
      </w:r>
    </w:p>
    <w:p w14:paraId="04CF6F95" w14:textId="24F85F8D" w:rsidR="00003BDE" w:rsidRDefault="00003BDE" w:rsidP="00003BDE">
      <w:pPr>
        <w:pStyle w:val="ListParagraph"/>
        <w:numPr>
          <w:ilvl w:val="0"/>
          <w:numId w:val="1"/>
        </w:numPr>
        <w:spacing w:before="240" w:after="160" w:line="360" w:lineRule="auto"/>
        <w:jc w:val="both"/>
        <w:rPr>
          <w:rFonts w:ascii="Book Antiqua" w:hAnsi="Book Antiqua"/>
          <w:sz w:val="24"/>
          <w:szCs w:val="24"/>
        </w:rPr>
      </w:pPr>
      <w:r w:rsidRPr="00805C13">
        <w:rPr>
          <w:rFonts w:ascii="Book Antiqua" w:hAnsi="Book Antiqua"/>
          <w:sz w:val="24"/>
          <w:szCs w:val="24"/>
        </w:rPr>
        <w:t>Innovative start-ups that have completed product development, started commercial operations</w:t>
      </w:r>
      <w:r w:rsidRPr="00805C13">
        <w:rPr>
          <w:rFonts w:ascii="Book Antiqua" w:hAnsi="Book Antiqua"/>
          <w:sz w:val="24"/>
          <w:szCs w:val="24"/>
          <w:lang w:val="en-US"/>
        </w:rPr>
        <w:t>/</w:t>
      </w:r>
      <w:r w:rsidRPr="00805C13">
        <w:rPr>
          <w:rFonts w:ascii="Book Antiqua" w:hAnsi="Book Antiqua"/>
          <w:sz w:val="24"/>
          <w:szCs w:val="24"/>
        </w:rPr>
        <w:t>generating revenues or utilized the assistance received in the seed stage effectively and has also commenced repaying/closed the assistance sought or has received major recognition from renowned institutions/agencies /received external investor funding support etc. shall be considered for the Scale-up Support under the scheme.</w:t>
      </w:r>
    </w:p>
    <w:p w14:paraId="75E03733" w14:textId="2A3701A1" w:rsidR="00003BDE" w:rsidRPr="00003BDE" w:rsidRDefault="00003BDE" w:rsidP="00003BDE">
      <w:pPr>
        <w:pStyle w:val="ListParagraph"/>
        <w:numPr>
          <w:ilvl w:val="0"/>
          <w:numId w:val="1"/>
        </w:numPr>
        <w:spacing w:before="240" w:after="160" w:line="360" w:lineRule="auto"/>
        <w:jc w:val="both"/>
        <w:rPr>
          <w:rFonts w:ascii="Book Antiqua" w:hAnsi="Book Antiqua"/>
          <w:sz w:val="24"/>
          <w:szCs w:val="24"/>
        </w:rPr>
      </w:pPr>
      <w:r w:rsidRPr="004B2785">
        <w:rPr>
          <w:rFonts w:ascii="Book Antiqua" w:hAnsi="Book Antiqua"/>
          <w:sz w:val="24"/>
          <w:szCs w:val="24"/>
        </w:rPr>
        <w:t xml:space="preserve">Scale-Up soft loan can be provided </w:t>
      </w:r>
      <w:r w:rsidR="003949B6">
        <w:rPr>
          <w:rFonts w:ascii="Book Antiqua" w:hAnsi="Book Antiqua"/>
          <w:sz w:val="24"/>
          <w:szCs w:val="24"/>
        </w:rPr>
        <w:t xml:space="preserve">only to registered </w:t>
      </w:r>
      <w:r w:rsidRPr="004B2785">
        <w:rPr>
          <w:rFonts w:ascii="Book Antiqua" w:hAnsi="Book Antiqua"/>
          <w:sz w:val="24"/>
          <w:szCs w:val="24"/>
        </w:rPr>
        <w:t>compan</w:t>
      </w:r>
      <w:r w:rsidR="003949B6">
        <w:rPr>
          <w:rFonts w:ascii="Book Antiqua" w:hAnsi="Book Antiqua"/>
          <w:sz w:val="24"/>
          <w:szCs w:val="24"/>
        </w:rPr>
        <w:t>ies</w:t>
      </w:r>
      <w:r w:rsidRPr="004B2785">
        <w:rPr>
          <w:rFonts w:ascii="Book Antiqua" w:hAnsi="Book Antiqua"/>
          <w:sz w:val="24"/>
          <w:szCs w:val="24"/>
        </w:rPr>
        <w:t xml:space="preserve">. </w:t>
      </w:r>
    </w:p>
    <w:p w14:paraId="167303A0" w14:textId="20DA684E" w:rsidR="00003BDE" w:rsidRPr="004B2785" w:rsidRDefault="00003BDE" w:rsidP="00003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4B2785">
        <w:rPr>
          <w:rFonts w:ascii="Book Antiqua" w:hAnsi="Book Antiqua"/>
          <w:sz w:val="24"/>
          <w:szCs w:val="24"/>
        </w:rPr>
        <w:t>Promoters Credit Report will be obtained from Banks/ Financial Institution which shall be satisfactory; CIBIL score of the promoters will also be obtained, which shall be a minimum of 650.</w:t>
      </w:r>
    </w:p>
    <w:p w14:paraId="7FA1DF35" w14:textId="77777777" w:rsidR="001D08CF" w:rsidRDefault="001D08CF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2480522B" w14:textId="77777777" w:rsidR="001D08CF" w:rsidRDefault="001D08CF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5FE9746B" w14:textId="1A24207D" w:rsidR="001D08CF" w:rsidRDefault="001D08CF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76FF194C" w14:textId="77777777" w:rsidR="001D08CF" w:rsidRDefault="001D08CF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0319F28B" w14:textId="69DD0A85" w:rsidR="00003BDE" w:rsidRDefault="00886391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  <w:lastRenderedPageBreak/>
        <w:t>Procedure for Applying Seed Fund Assistance at KSIDC</w:t>
      </w:r>
    </w:p>
    <w:p w14:paraId="4C49EEEC" w14:textId="77777777" w:rsidR="00D75892" w:rsidRDefault="00D75892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00961556" w14:textId="3D7F00AE" w:rsidR="004F4945" w:rsidRDefault="004F4945">
      <w:pP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Lato" w:hAnsi="Lato"/>
          <w:b/>
          <w:bCs/>
          <w:color w:val="000000"/>
          <w:sz w:val="32"/>
          <w:szCs w:val="32"/>
          <w:u w:val="single"/>
          <w:bdr w:val="none" w:sz="0" w:space="0" w:color="auto" w:frame="1"/>
        </w:rPr>
        <w:t>Offline submission</w:t>
      </w:r>
    </w:p>
    <w:p w14:paraId="6D8B637D" w14:textId="35EC4C7B" w:rsidR="00886391" w:rsidRPr="00886391" w:rsidRDefault="00886391" w:rsidP="00886391">
      <w:pPr>
        <w:numPr>
          <w:ilvl w:val="0"/>
          <w:numId w:val="2"/>
        </w:numPr>
        <w:shd w:val="clear" w:color="auto" w:fill="FFFFFF"/>
        <w:spacing w:after="0" w:line="450" w:lineRule="atLeast"/>
        <w:textAlignment w:val="top"/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</w:pP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Start-ups that wish to avail </w:t>
      </w:r>
      <w:r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scaleup assistance</w:t>
      </w: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 from KSIDC can call our Startup Cell helpline number (Ph:0484-2323010) or you can meet the single point contact (</w:t>
      </w:r>
      <w:r w:rsidR="007D350E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Vinu KR</w:t>
      </w: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, </w:t>
      </w:r>
      <w:r w:rsidR="007D350E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Project Officer</w:t>
      </w: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, KSIDC) or email us your business plan </w:t>
      </w:r>
      <w:r w:rsidR="00787549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vinu@ksidcmail.org</w:t>
      </w:r>
    </w:p>
    <w:p w14:paraId="17749AF0" w14:textId="77777777" w:rsidR="00886391" w:rsidRPr="00886391" w:rsidRDefault="00886391" w:rsidP="00886391">
      <w:pPr>
        <w:numPr>
          <w:ilvl w:val="0"/>
          <w:numId w:val="2"/>
        </w:numPr>
        <w:shd w:val="clear" w:color="auto" w:fill="FFFFFF"/>
        <w:spacing w:after="0" w:line="450" w:lineRule="atLeast"/>
        <w:textAlignment w:val="top"/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</w:pP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On receipt of the proposal, the KSIDC Start up Team will interact with the company.</w:t>
      </w:r>
    </w:p>
    <w:p w14:paraId="4DC23F9E" w14:textId="44C352A9" w:rsidR="007D350E" w:rsidRPr="004F4945" w:rsidRDefault="00886391" w:rsidP="004F4945">
      <w:pPr>
        <w:numPr>
          <w:ilvl w:val="0"/>
          <w:numId w:val="2"/>
        </w:numPr>
        <w:shd w:val="clear" w:color="auto" w:fill="FFFFFF"/>
        <w:spacing w:after="0" w:line="450" w:lineRule="atLeast"/>
        <w:textAlignment w:val="top"/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</w:pP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If the </w:t>
      </w:r>
      <w:r w:rsidR="007D350E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proposal </w:t>
      </w: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is found </w:t>
      </w:r>
      <w:r w:rsidR="007D350E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to fit in as per the criteria for assistance, the application form will be provided to the company. The detailed application form can also be downloaded from the website.</w:t>
      </w:r>
    </w:p>
    <w:p w14:paraId="1D8DDD91" w14:textId="77777777" w:rsidR="00886391" w:rsidRPr="00886391" w:rsidRDefault="00886391" w:rsidP="00886391">
      <w:pPr>
        <w:numPr>
          <w:ilvl w:val="0"/>
          <w:numId w:val="2"/>
        </w:numPr>
        <w:shd w:val="clear" w:color="auto" w:fill="FFFFFF"/>
        <w:spacing w:after="0" w:line="450" w:lineRule="atLeast"/>
        <w:textAlignment w:val="top"/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</w:pP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Once on the application is submitted, a preliminary evaluation by the KSIDC Start up Team will be undertaken.</w:t>
      </w:r>
    </w:p>
    <w:p w14:paraId="6679CAA1" w14:textId="26F6834B" w:rsidR="00886391" w:rsidRPr="00886391" w:rsidRDefault="00886391" w:rsidP="00886391">
      <w:pPr>
        <w:numPr>
          <w:ilvl w:val="0"/>
          <w:numId w:val="2"/>
        </w:numPr>
        <w:shd w:val="clear" w:color="auto" w:fill="FFFFFF"/>
        <w:spacing w:after="0" w:line="450" w:lineRule="atLeast"/>
        <w:textAlignment w:val="top"/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</w:pP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The proposal is then placed before the Committee </w:t>
      </w:r>
      <w:r w:rsidR="00B86B30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 xml:space="preserve">entrusted for evaluation </w:t>
      </w:r>
      <w:r w:rsidRPr="00886391">
        <w:rPr>
          <w:rFonts w:ascii="Lato" w:eastAsia="Times New Roman" w:hAnsi="Lato" w:cs="Times New Roman"/>
          <w:color w:val="000000"/>
          <w:sz w:val="27"/>
          <w:szCs w:val="27"/>
          <w:lang w:eastAsia="en-IN"/>
        </w:rPr>
        <w:t>and Applicants shall be invited to present their proposal before the committee for final approval.</w:t>
      </w:r>
    </w:p>
    <w:p w14:paraId="4B96D74C" w14:textId="77777777" w:rsidR="004F4945" w:rsidRDefault="004F4945"/>
    <w:p w14:paraId="7A327DCB" w14:textId="2388A10B" w:rsidR="00886391" w:rsidRPr="004F4945" w:rsidRDefault="004F4945">
      <w:pPr>
        <w:rPr>
          <w:b/>
          <w:bCs/>
          <w:sz w:val="36"/>
          <w:szCs w:val="36"/>
          <w:u w:val="single"/>
        </w:rPr>
      </w:pPr>
      <w:r w:rsidRPr="004F4945">
        <w:rPr>
          <w:b/>
          <w:bCs/>
          <w:sz w:val="36"/>
          <w:szCs w:val="36"/>
          <w:u w:val="single"/>
        </w:rPr>
        <w:t>Online submission</w:t>
      </w:r>
    </w:p>
    <w:p w14:paraId="0EEDAC67" w14:textId="3CFB453B" w:rsidR="004F4945" w:rsidRPr="004F4945" w:rsidRDefault="004F4945">
      <w:pPr>
        <w:rPr>
          <w:sz w:val="28"/>
          <w:szCs w:val="28"/>
        </w:rPr>
      </w:pPr>
      <w:r w:rsidRPr="004F4945">
        <w:rPr>
          <w:sz w:val="28"/>
          <w:szCs w:val="28"/>
        </w:rPr>
        <w:t>The eligible companies can also submit online application through KSIDC portal</w:t>
      </w:r>
      <w:r w:rsidR="00787549">
        <w:rPr>
          <w:sz w:val="28"/>
          <w:szCs w:val="28"/>
        </w:rPr>
        <w:t xml:space="preserve"> </w:t>
      </w:r>
      <w:r w:rsidR="00787549" w:rsidRPr="00787549">
        <w:rPr>
          <w:sz w:val="28"/>
          <w:szCs w:val="28"/>
        </w:rPr>
        <w:t>https://ksidcapplications.kerala.gov.in/</w:t>
      </w:r>
    </w:p>
    <w:p w14:paraId="27E8B366" w14:textId="77777777" w:rsidR="004F4945" w:rsidRDefault="004F4945"/>
    <w:sectPr w:rsidR="004F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1D5"/>
    <w:multiLevelType w:val="hybridMultilevel"/>
    <w:tmpl w:val="FDCAF4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63FE"/>
    <w:multiLevelType w:val="multilevel"/>
    <w:tmpl w:val="A4AA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162567">
    <w:abstractNumId w:val="0"/>
  </w:num>
  <w:num w:numId="2" w16cid:durableId="138329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3"/>
    <w:rsid w:val="00003BDE"/>
    <w:rsid w:val="001D08CF"/>
    <w:rsid w:val="00322125"/>
    <w:rsid w:val="003949B6"/>
    <w:rsid w:val="004A33C2"/>
    <w:rsid w:val="004F4945"/>
    <w:rsid w:val="00787549"/>
    <w:rsid w:val="007D350E"/>
    <w:rsid w:val="00805C13"/>
    <w:rsid w:val="00886391"/>
    <w:rsid w:val="00B86B30"/>
    <w:rsid w:val="00D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F25C"/>
  <w15:chartTrackingRefBased/>
  <w15:docId w15:val="{42F2D5BD-2DA0-4733-A551-076F3FB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05C13"/>
    <w:pPr>
      <w:spacing w:after="200" w:line="276" w:lineRule="auto"/>
      <w:ind w:left="720"/>
      <w:contextualSpacing/>
    </w:pPr>
    <w:rPr>
      <w:rFonts w:ascii="Calibri" w:eastAsia="Calibri" w:hAnsi="Calibri" w:cs="Mangal"/>
    </w:rPr>
  </w:style>
  <w:style w:type="character" w:styleId="Hyperlink">
    <w:name w:val="Hyperlink"/>
    <w:basedOn w:val="DefaultParagraphFont"/>
    <w:uiPriority w:val="99"/>
    <w:unhideWhenUsed/>
    <w:rsid w:val="001D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2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Nithesh</dc:creator>
  <cp:keywords/>
  <dc:description/>
  <cp:lastModifiedBy>JESSIL KSIDC</cp:lastModifiedBy>
  <cp:revision>4</cp:revision>
  <dcterms:created xsi:type="dcterms:W3CDTF">2022-07-05T11:54:00Z</dcterms:created>
  <dcterms:modified xsi:type="dcterms:W3CDTF">2022-07-21T07:48:00Z</dcterms:modified>
</cp:coreProperties>
</file>